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F3FB2" w:rsidRDefault="000F3FB2">
      <w:pPr>
        <w:widowControl w:val="0"/>
        <w:pBdr>
          <w:top w:val="nil"/>
          <w:left w:val="nil"/>
          <w:bottom w:val="nil"/>
          <w:right w:val="nil"/>
          <w:between w:val="nil"/>
        </w:pBdr>
        <w:spacing w:line="276" w:lineRule="auto"/>
      </w:pPr>
    </w:p>
    <w:p w14:paraId="00000002" w14:textId="4F45C901" w:rsidR="000F3FB2" w:rsidRDefault="009E6DB0">
      <w:pPr>
        <w:pStyle w:val="Heading1"/>
        <w:rPr>
          <w:rFonts w:ascii="Arial" w:eastAsia="Arial" w:hAnsi="Arial" w:cs="Arial"/>
          <w:color w:val="FF0000"/>
          <w:sz w:val="16"/>
          <w:szCs w:val="16"/>
        </w:rPr>
      </w:pPr>
      <w:r>
        <w:rPr>
          <w:rFonts w:ascii="Arial" w:eastAsia="Arial" w:hAnsi="Arial" w:cs="Arial"/>
          <w:color w:val="FF0000"/>
          <w:sz w:val="16"/>
          <w:szCs w:val="16"/>
        </w:rPr>
        <w:t>UNDER EMBARGO UNTIL 8AM EST, MONDAY MARCH 6</w:t>
      </w:r>
    </w:p>
    <w:p w14:paraId="00000003" w14:textId="77777777" w:rsidR="000F3FB2" w:rsidRDefault="000F3FB2">
      <w:pPr>
        <w:jc w:val="center"/>
        <w:rPr>
          <w:rFonts w:ascii="Arial Rounded" w:eastAsia="Arial Rounded" w:hAnsi="Arial Rounded" w:cs="Arial Rounded"/>
          <w:color w:val="0D64FF"/>
          <w:sz w:val="28"/>
          <w:szCs w:val="28"/>
        </w:rPr>
      </w:pPr>
    </w:p>
    <w:p w14:paraId="00000005" w14:textId="0C02A87C" w:rsidR="000F3FB2" w:rsidRDefault="00B47E89" w:rsidP="00813456">
      <w:pPr>
        <w:jc w:val="center"/>
        <w:rPr>
          <w:rFonts w:ascii="Arial Rounded MT Bold" w:eastAsia="Arial Rounded" w:hAnsi="Arial Rounded MT Bold" w:cs="Arial Rounded"/>
          <w:b w:val="0"/>
          <w:color w:val="0D64FF"/>
          <w:sz w:val="28"/>
          <w:szCs w:val="28"/>
        </w:rPr>
      </w:pPr>
      <w:r w:rsidRPr="00813456">
        <w:rPr>
          <w:rFonts w:ascii="Arial Rounded MT Bold" w:eastAsia="Arial Rounded" w:hAnsi="Arial Rounded MT Bold" w:cs="Arial Rounded"/>
          <w:b w:val="0"/>
          <w:color w:val="0D64FF"/>
          <w:sz w:val="28"/>
          <w:szCs w:val="28"/>
        </w:rPr>
        <w:t>U.S. Joint Industry Committee Reveals Certification Criteria for</w:t>
      </w:r>
      <w:r w:rsidR="00EB54E1">
        <w:rPr>
          <w:rFonts w:ascii="Arial Rounded MT Bold" w:eastAsia="Arial Rounded" w:hAnsi="Arial Rounded MT Bold" w:cs="Arial Rounded"/>
          <w:b w:val="0"/>
          <w:color w:val="0D64FF"/>
          <w:sz w:val="28"/>
          <w:szCs w:val="28"/>
        </w:rPr>
        <w:br/>
      </w:r>
      <w:r w:rsidRPr="00813456">
        <w:rPr>
          <w:rFonts w:ascii="Arial Rounded MT Bold" w:eastAsia="Arial Rounded" w:hAnsi="Arial Rounded MT Bold" w:cs="Arial Rounded"/>
          <w:b w:val="0"/>
          <w:color w:val="0D64FF"/>
          <w:sz w:val="28"/>
          <w:szCs w:val="28"/>
        </w:rPr>
        <w:t xml:space="preserve"> </w:t>
      </w:r>
      <w:r w:rsidR="00813456" w:rsidRPr="00813456">
        <w:rPr>
          <w:rFonts w:ascii="Arial Rounded MT Bold" w:eastAsia="Arial Rounded" w:hAnsi="Arial Rounded MT Bold" w:cs="Arial Rounded"/>
          <w:b w:val="0"/>
          <w:color w:val="0D64FF"/>
          <w:sz w:val="28"/>
          <w:szCs w:val="28"/>
        </w:rPr>
        <w:t>Premium Video Cross</w:t>
      </w:r>
      <w:r w:rsidR="00813456">
        <w:rPr>
          <w:rFonts w:ascii="Arial Rounded MT Bold" w:eastAsia="Arial Rounded" w:hAnsi="Arial Rounded MT Bold" w:cs="Arial Rounded"/>
          <w:b w:val="0"/>
          <w:color w:val="0D64FF"/>
          <w:sz w:val="28"/>
          <w:szCs w:val="28"/>
        </w:rPr>
        <w:t>-</w:t>
      </w:r>
      <w:r w:rsidR="00813456" w:rsidRPr="00813456">
        <w:rPr>
          <w:rFonts w:ascii="Arial Rounded MT Bold" w:eastAsia="Arial Rounded" w:hAnsi="Arial Rounded MT Bold" w:cs="Arial Rounded"/>
          <w:b w:val="0"/>
          <w:color w:val="0D64FF"/>
          <w:sz w:val="28"/>
          <w:szCs w:val="28"/>
        </w:rPr>
        <w:t>Platform Currencies</w:t>
      </w:r>
    </w:p>
    <w:p w14:paraId="00000007" w14:textId="77777777" w:rsidR="000F3FB2" w:rsidRDefault="000F3FB2" w:rsidP="00EB54E1">
      <w:pPr>
        <w:rPr>
          <w:b w:val="0"/>
          <w:i/>
          <w:color w:val="151515"/>
          <w:sz w:val="22"/>
          <w:szCs w:val="22"/>
        </w:rPr>
      </w:pPr>
    </w:p>
    <w:p w14:paraId="00000009" w14:textId="78158C05" w:rsidR="000F3FB2" w:rsidRDefault="00B47E89" w:rsidP="00873509">
      <w:pPr>
        <w:jc w:val="center"/>
        <w:rPr>
          <w:b w:val="0"/>
          <w:i/>
          <w:color w:val="151515"/>
          <w:sz w:val="22"/>
          <w:szCs w:val="22"/>
        </w:rPr>
      </w:pPr>
      <w:r>
        <w:rPr>
          <w:b w:val="0"/>
          <w:i/>
          <w:color w:val="151515"/>
          <w:sz w:val="22"/>
          <w:szCs w:val="22"/>
        </w:rPr>
        <w:t xml:space="preserve">Buyers and sellers have equal voice in creating </w:t>
      </w:r>
      <w:r w:rsidR="009E36F1">
        <w:rPr>
          <w:b w:val="0"/>
          <w:i/>
          <w:color w:val="151515"/>
          <w:sz w:val="22"/>
          <w:szCs w:val="22"/>
        </w:rPr>
        <w:t>requirements</w:t>
      </w:r>
      <w:r>
        <w:rPr>
          <w:b w:val="0"/>
          <w:i/>
          <w:color w:val="151515"/>
          <w:sz w:val="22"/>
          <w:szCs w:val="22"/>
        </w:rPr>
        <w:t xml:space="preserve"> for measurement solutions as </w:t>
      </w:r>
      <w:r w:rsidR="00DB3CB9">
        <w:rPr>
          <w:b w:val="0"/>
          <w:i/>
          <w:color w:val="151515"/>
          <w:sz w:val="22"/>
          <w:szCs w:val="22"/>
        </w:rPr>
        <w:t xml:space="preserve">the </w:t>
      </w:r>
      <w:r>
        <w:rPr>
          <w:b w:val="0"/>
          <w:i/>
          <w:color w:val="151515"/>
          <w:sz w:val="22"/>
          <w:szCs w:val="22"/>
        </w:rPr>
        <w:t>JIC seeks to establish suitability ahead of the 2024 Broadcast Year</w:t>
      </w:r>
    </w:p>
    <w:p w14:paraId="0000000A" w14:textId="77777777" w:rsidR="000F3FB2" w:rsidRDefault="000F3FB2">
      <w:pPr>
        <w:rPr>
          <w:b w:val="0"/>
          <w:color w:val="151515"/>
          <w:sz w:val="22"/>
          <w:szCs w:val="22"/>
        </w:rPr>
      </w:pPr>
    </w:p>
    <w:p w14:paraId="0000000B" w14:textId="3234C781" w:rsidR="000F3FB2" w:rsidRDefault="00B47E89">
      <w:pPr>
        <w:rPr>
          <w:b w:val="0"/>
          <w:color w:val="151515"/>
          <w:sz w:val="22"/>
          <w:szCs w:val="22"/>
        </w:rPr>
      </w:pPr>
      <w:r>
        <w:rPr>
          <w:b w:val="0"/>
          <w:color w:val="151515"/>
          <w:sz w:val="22"/>
          <w:szCs w:val="22"/>
        </w:rPr>
        <w:t xml:space="preserve">NEW YORK, March </w:t>
      </w:r>
      <w:r w:rsidR="00F0743E">
        <w:rPr>
          <w:b w:val="0"/>
          <w:color w:val="151515"/>
          <w:sz w:val="22"/>
          <w:szCs w:val="22"/>
        </w:rPr>
        <w:t>6</w:t>
      </w:r>
      <w:r>
        <w:rPr>
          <w:b w:val="0"/>
          <w:color w:val="151515"/>
          <w:sz w:val="22"/>
          <w:szCs w:val="22"/>
        </w:rPr>
        <w:t xml:space="preserve">, 2023 — The U.S. Joint Industry Committee (JIC) – the first collaborative forum to focus on premium video measurement – today announced the publication of its initial requirements for </w:t>
      </w:r>
      <w:r w:rsidR="005339ED">
        <w:rPr>
          <w:b w:val="0"/>
          <w:color w:val="151515"/>
          <w:sz w:val="22"/>
          <w:szCs w:val="22"/>
        </w:rPr>
        <w:t xml:space="preserve">premium video </w:t>
      </w:r>
      <w:r>
        <w:rPr>
          <w:b w:val="0"/>
          <w:color w:val="151515"/>
          <w:sz w:val="22"/>
          <w:szCs w:val="22"/>
        </w:rPr>
        <w:t xml:space="preserve">cross-platform currencies, signaling an important milestone </w:t>
      </w:r>
      <w:r w:rsidR="00191757">
        <w:rPr>
          <w:b w:val="0"/>
          <w:color w:val="151515"/>
          <w:sz w:val="22"/>
          <w:szCs w:val="22"/>
        </w:rPr>
        <w:t xml:space="preserve">in </w:t>
      </w:r>
      <w:r>
        <w:rPr>
          <w:b w:val="0"/>
          <w:color w:val="151515"/>
          <w:sz w:val="22"/>
          <w:szCs w:val="22"/>
        </w:rPr>
        <w:t xml:space="preserve">coalescing the industry around </w:t>
      </w:r>
      <w:r w:rsidR="00191757">
        <w:rPr>
          <w:b w:val="0"/>
          <w:color w:val="151515"/>
          <w:sz w:val="22"/>
          <w:szCs w:val="22"/>
        </w:rPr>
        <w:t xml:space="preserve">common standards as it seeks to </w:t>
      </w:r>
      <w:r>
        <w:rPr>
          <w:b w:val="0"/>
          <w:color w:val="151515"/>
          <w:sz w:val="22"/>
          <w:szCs w:val="22"/>
        </w:rPr>
        <w:t>advanc</w:t>
      </w:r>
      <w:r w:rsidR="00191757">
        <w:rPr>
          <w:b w:val="0"/>
          <w:color w:val="151515"/>
          <w:sz w:val="22"/>
          <w:szCs w:val="22"/>
        </w:rPr>
        <w:t>e</w:t>
      </w:r>
      <w:r>
        <w:rPr>
          <w:b w:val="0"/>
          <w:color w:val="151515"/>
          <w:sz w:val="22"/>
          <w:szCs w:val="22"/>
        </w:rPr>
        <w:t xml:space="preserve"> a multicurrency future for premium video advertising.</w:t>
      </w:r>
    </w:p>
    <w:p w14:paraId="7BD28F01" w14:textId="77777777" w:rsidR="00F0352B" w:rsidRDefault="00F0352B">
      <w:pPr>
        <w:rPr>
          <w:b w:val="0"/>
          <w:color w:val="151515"/>
          <w:sz w:val="22"/>
          <w:szCs w:val="22"/>
        </w:rPr>
      </w:pPr>
    </w:p>
    <w:p w14:paraId="0000000D" w14:textId="281761B3" w:rsidR="000F3FB2" w:rsidRDefault="00B47E89">
      <w:pPr>
        <w:rPr>
          <w:b w:val="0"/>
          <w:color w:val="151515"/>
          <w:sz w:val="22"/>
          <w:szCs w:val="22"/>
        </w:rPr>
      </w:pPr>
      <w:r>
        <w:rPr>
          <w:b w:val="0"/>
          <w:color w:val="151515"/>
          <w:sz w:val="22"/>
          <w:szCs w:val="22"/>
        </w:rPr>
        <w:t xml:space="preserve">The JIC has identified </w:t>
      </w:r>
      <w:r w:rsidRPr="000C4603">
        <w:rPr>
          <w:b w:val="0"/>
          <w:color w:val="151515"/>
          <w:sz w:val="22"/>
          <w:szCs w:val="22"/>
        </w:rPr>
        <w:t>minimum requirements that are needed for all cross-platform currenc</w:t>
      </w:r>
      <w:r w:rsidR="00E500EF">
        <w:rPr>
          <w:b w:val="0"/>
          <w:color w:val="151515"/>
          <w:sz w:val="22"/>
          <w:szCs w:val="22"/>
        </w:rPr>
        <w:t>ies</w:t>
      </w:r>
      <w:r w:rsidRPr="000C4603">
        <w:rPr>
          <w:b w:val="0"/>
          <w:color w:val="151515"/>
          <w:sz w:val="22"/>
          <w:szCs w:val="22"/>
        </w:rPr>
        <w:t xml:space="preserve"> to be transactional</w:t>
      </w:r>
      <w:r w:rsidR="00293EE0">
        <w:rPr>
          <w:b w:val="0"/>
          <w:color w:val="151515"/>
          <w:sz w:val="22"/>
          <w:szCs w:val="22"/>
        </w:rPr>
        <w:t>, with buyers and</w:t>
      </w:r>
      <w:r w:rsidR="00293EE0" w:rsidRPr="00D87485">
        <w:rPr>
          <w:b w:val="0"/>
          <w:color w:val="151515"/>
          <w:sz w:val="22"/>
          <w:szCs w:val="22"/>
        </w:rPr>
        <w:t xml:space="preserve"> sellers hav</w:t>
      </w:r>
      <w:r w:rsidR="00293EE0">
        <w:rPr>
          <w:b w:val="0"/>
          <w:color w:val="151515"/>
          <w:sz w:val="22"/>
          <w:szCs w:val="22"/>
        </w:rPr>
        <w:t>ing</w:t>
      </w:r>
      <w:r w:rsidR="00293EE0" w:rsidRPr="00D87485">
        <w:rPr>
          <w:b w:val="0"/>
          <w:color w:val="151515"/>
          <w:sz w:val="22"/>
          <w:szCs w:val="22"/>
        </w:rPr>
        <w:t xml:space="preserve"> an equal voice in </w:t>
      </w:r>
      <w:r w:rsidR="00E500EF">
        <w:rPr>
          <w:b w:val="0"/>
          <w:color w:val="151515"/>
          <w:sz w:val="22"/>
          <w:szCs w:val="22"/>
        </w:rPr>
        <w:t xml:space="preserve">defining the criteria that will be used to evaluate measurement solutions in the JIC’s forthcoming measurement certification program as it </w:t>
      </w:r>
      <w:r w:rsidR="00293EE0" w:rsidRPr="00D87485">
        <w:rPr>
          <w:b w:val="0"/>
          <w:color w:val="151515"/>
          <w:sz w:val="22"/>
          <w:szCs w:val="22"/>
        </w:rPr>
        <w:t>seeks to establish suitability ahead of the 2024 Broadcast Year.</w:t>
      </w:r>
      <w:r w:rsidR="00E500EF">
        <w:rPr>
          <w:b w:val="0"/>
          <w:color w:val="151515"/>
          <w:sz w:val="22"/>
          <w:szCs w:val="22"/>
        </w:rPr>
        <w:t xml:space="preserve"> </w:t>
      </w:r>
      <w:r w:rsidRPr="000C4603">
        <w:rPr>
          <w:b w:val="0"/>
          <w:color w:val="151515"/>
          <w:sz w:val="22"/>
          <w:szCs w:val="22"/>
        </w:rPr>
        <w:t xml:space="preserve">The </w:t>
      </w:r>
      <w:r w:rsidR="009C44CB">
        <w:rPr>
          <w:b w:val="0"/>
          <w:color w:val="151515"/>
          <w:sz w:val="22"/>
          <w:szCs w:val="22"/>
        </w:rPr>
        <w:t>requirements</w:t>
      </w:r>
      <w:r w:rsidRPr="000C4603">
        <w:rPr>
          <w:b w:val="0"/>
          <w:color w:val="151515"/>
          <w:sz w:val="22"/>
          <w:szCs w:val="22"/>
        </w:rPr>
        <w:t xml:space="preserve"> can be </w:t>
      </w:r>
      <w:r w:rsidR="003D5671" w:rsidRPr="003D5671">
        <w:rPr>
          <w:b w:val="0"/>
          <w:color w:val="151515"/>
          <w:sz w:val="22"/>
          <w:szCs w:val="22"/>
          <w:highlight w:val="cyan"/>
        </w:rPr>
        <w:t>&lt;link&gt; here</w:t>
      </w:r>
      <w:r w:rsidR="003D5671">
        <w:rPr>
          <w:b w:val="0"/>
          <w:color w:val="151515"/>
          <w:sz w:val="22"/>
          <w:szCs w:val="22"/>
        </w:rPr>
        <w:t xml:space="preserve"> </w:t>
      </w:r>
      <w:r w:rsidRPr="000C4603">
        <w:rPr>
          <w:b w:val="0"/>
          <w:color w:val="151515"/>
          <w:sz w:val="22"/>
          <w:szCs w:val="22"/>
        </w:rPr>
        <w:t>and</w:t>
      </w:r>
      <w:r>
        <w:rPr>
          <w:b w:val="0"/>
          <w:color w:val="151515"/>
          <w:sz w:val="22"/>
          <w:szCs w:val="22"/>
        </w:rPr>
        <w:t xml:space="preserve"> are aligned to the following key areas: </w:t>
      </w:r>
    </w:p>
    <w:p w14:paraId="0000000E" w14:textId="77777777" w:rsidR="000F3FB2" w:rsidRDefault="00B47E89">
      <w:pPr>
        <w:numPr>
          <w:ilvl w:val="0"/>
          <w:numId w:val="1"/>
        </w:numPr>
        <w:pBdr>
          <w:top w:val="nil"/>
          <w:left w:val="nil"/>
          <w:bottom w:val="nil"/>
          <w:right w:val="nil"/>
          <w:between w:val="nil"/>
        </w:pBdr>
        <w:rPr>
          <w:b w:val="0"/>
          <w:color w:val="151515"/>
          <w:sz w:val="22"/>
          <w:szCs w:val="22"/>
        </w:rPr>
      </w:pPr>
      <w:r>
        <w:rPr>
          <w:b w:val="0"/>
          <w:color w:val="151515"/>
          <w:sz w:val="22"/>
          <w:szCs w:val="22"/>
        </w:rPr>
        <w:t>Big Data</w:t>
      </w:r>
    </w:p>
    <w:p w14:paraId="0000000F" w14:textId="77777777" w:rsidR="000F3FB2" w:rsidRDefault="00B47E89">
      <w:pPr>
        <w:numPr>
          <w:ilvl w:val="0"/>
          <w:numId w:val="1"/>
        </w:numPr>
        <w:pBdr>
          <w:top w:val="nil"/>
          <w:left w:val="nil"/>
          <w:bottom w:val="nil"/>
          <w:right w:val="nil"/>
          <w:between w:val="nil"/>
        </w:pBdr>
        <w:rPr>
          <w:b w:val="0"/>
          <w:color w:val="151515"/>
          <w:sz w:val="22"/>
          <w:szCs w:val="22"/>
        </w:rPr>
      </w:pPr>
      <w:r>
        <w:rPr>
          <w:b w:val="0"/>
          <w:color w:val="151515"/>
          <w:sz w:val="22"/>
          <w:szCs w:val="22"/>
        </w:rPr>
        <w:t>Technology &amp; Infrastructure</w:t>
      </w:r>
    </w:p>
    <w:p w14:paraId="00000010" w14:textId="77777777" w:rsidR="000F3FB2" w:rsidRDefault="00B47E89">
      <w:pPr>
        <w:numPr>
          <w:ilvl w:val="0"/>
          <w:numId w:val="1"/>
        </w:numPr>
        <w:pBdr>
          <w:top w:val="nil"/>
          <w:left w:val="nil"/>
          <w:bottom w:val="nil"/>
          <w:right w:val="nil"/>
          <w:between w:val="nil"/>
        </w:pBdr>
        <w:rPr>
          <w:b w:val="0"/>
          <w:color w:val="151515"/>
          <w:sz w:val="22"/>
          <w:szCs w:val="22"/>
        </w:rPr>
      </w:pPr>
      <w:r>
        <w:rPr>
          <w:b w:val="0"/>
          <w:color w:val="151515"/>
          <w:sz w:val="22"/>
          <w:szCs w:val="22"/>
        </w:rPr>
        <w:t>Interoperability</w:t>
      </w:r>
    </w:p>
    <w:p w14:paraId="00000011" w14:textId="77777777" w:rsidR="000F3FB2" w:rsidRDefault="00B47E89">
      <w:pPr>
        <w:numPr>
          <w:ilvl w:val="0"/>
          <w:numId w:val="1"/>
        </w:numPr>
        <w:pBdr>
          <w:top w:val="nil"/>
          <w:left w:val="nil"/>
          <w:bottom w:val="nil"/>
          <w:right w:val="nil"/>
          <w:between w:val="nil"/>
        </w:pBdr>
        <w:rPr>
          <w:b w:val="0"/>
          <w:color w:val="151515"/>
          <w:sz w:val="22"/>
          <w:szCs w:val="22"/>
        </w:rPr>
      </w:pPr>
      <w:r>
        <w:rPr>
          <w:b w:val="0"/>
          <w:color w:val="151515"/>
          <w:sz w:val="22"/>
          <w:szCs w:val="22"/>
        </w:rPr>
        <w:t>Privacy</w:t>
      </w:r>
    </w:p>
    <w:p w14:paraId="00000012" w14:textId="77777777" w:rsidR="000F3FB2" w:rsidRDefault="00B47E89">
      <w:pPr>
        <w:numPr>
          <w:ilvl w:val="0"/>
          <w:numId w:val="1"/>
        </w:numPr>
        <w:pBdr>
          <w:top w:val="nil"/>
          <w:left w:val="nil"/>
          <w:bottom w:val="nil"/>
          <w:right w:val="nil"/>
          <w:between w:val="nil"/>
        </w:pBdr>
        <w:rPr>
          <w:b w:val="0"/>
          <w:color w:val="151515"/>
          <w:sz w:val="22"/>
          <w:szCs w:val="22"/>
        </w:rPr>
      </w:pPr>
      <w:r>
        <w:rPr>
          <w:b w:val="0"/>
          <w:color w:val="151515"/>
          <w:sz w:val="22"/>
          <w:szCs w:val="22"/>
        </w:rPr>
        <w:t>Transparency</w:t>
      </w:r>
    </w:p>
    <w:p w14:paraId="00000013" w14:textId="77777777" w:rsidR="000F3FB2" w:rsidRDefault="00B47E89">
      <w:pPr>
        <w:numPr>
          <w:ilvl w:val="0"/>
          <w:numId w:val="1"/>
        </w:numPr>
        <w:pBdr>
          <w:top w:val="nil"/>
          <w:left w:val="nil"/>
          <w:bottom w:val="nil"/>
          <w:right w:val="nil"/>
          <w:between w:val="nil"/>
        </w:pBdr>
        <w:rPr>
          <w:b w:val="0"/>
          <w:color w:val="151515"/>
          <w:sz w:val="22"/>
          <w:szCs w:val="22"/>
        </w:rPr>
      </w:pPr>
      <w:r>
        <w:rPr>
          <w:b w:val="0"/>
          <w:color w:val="151515"/>
          <w:sz w:val="22"/>
          <w:szCs w:val="22"/>
        </w:rPr>
        <w:t>Governance and Transaction Flexibility</w:t>
      </w:r>
    </w:p>
    <w:p w14:paraId="00000014" w14:textId="77777777" w:rsidR="000F3FB2" w:rsidRDefault="00B47E89">
      <w:pPr>
        <w:numPr>
          <w:ilvl w:val="0"/>
          <w:numId w:val="1"/>
        </w:numPr>
        <w:pBdr>
          <w:top w:val="nil"/>
          <w:left w:val="nil"/>
          <w:bottom w:val="nil"/>
          <w:right w:val="nil"/>
          <w:between w:val="nil"/>
        </w:pBdr>
        <w:rPr>
          <w:b w:val="0"/>
          <w:color w:val="151515"/>
          <w:sz w:val="22"/>
          <w:szCs w:val="22"/>
        </w:rPr>
      </w:pPr>
      <w:r>
        <w:rPr>
          <w:b w:val="0"/>
          <w:color w:val="151515"/>
          <w:sz w:val="22"/>
          <w:szCs w:val="22"/>
        </w:rPr>
        <w:t>Cross-Platform Measurement</w:t>
      </w:r>
    </w:p>
    <w:p w14:paraId="00000015" w14:textId="77777777" w:rsidR="000F3FB2" w:rsidRDefault="00B47E89">
      <w:pPr>
        <w:numPr>
          <w:ilvl w:val="0"/>
          <w:numId w:val="1"/>
        </w:numPr>
        <w:pBdr>
          <w:top w:val="nil"/>
          <w:left w:val="nil"/>
          <w:bottom w:val="nil"/>
          <w:right w:val="nil"/>
          <w:between w:val="nil"/>
        </w:pBdr>
        <w:rPr>
          <w:b w:val="0"/>
          <w:color w:val="151515"/>
          <w:sz w:val="22"/>
          <w:szCs w:val="22"/>
        </w:rPr>
      </w:pPr>
      <w:r>
        <w:rPr>
          <w:b w:val="0"/>
          <w:color w:val="151515"/>
          <w:sz w:val="22"/>
          <w:szCs w:val="22"/>
        </w:rPr>
        <w:t>Cross-Media Transparency, Media Integrations &amp; Stewardship</w:t>
      </w:r>
    </w:p>
    <w:p w14:paraId="3E448F60" w14:textId="02B565AC" w:rsidR="00F0352B" w:rsidRDefault="00F0352B">
      <w:pPr>
        <w:rPr>
          <w:b w:val="0"/>
          <w:color w:val="151515"/>
          <w:sz w:val="22"/>
          <w:szCs w:val="22"/>
        </w:rPr>
      </w:pPr>
    </w:p>
    <w:p w14:paraId="0D553132" w14:textId="6E86D4FE" w:rsidR="00A03248" w:rsidRPr="00A03248" w:rsidRDefault="00A03248" w:rsidP="00A03248">
      <w:pPr>
        <w:rPr>
          <w:bCs/>
          <w:color w:val="151515"/>
          <w:sz w:val="22"/>
          <w:szCs w:val="22"/>
        </w:rPr>
      </w:pPr>
      <w:r w:rsidRPr="00A03248">
        <w:rPr>
          <w:b w:val="0"/>
          <w:color w:val="151515"/>
          <w:sz w:val="22"/>
          <w:szCs w:val="22"/>
        </w:rPr>
        <w:t xml:space="preserve">To service the needs of both buyers and sellers, the JIC assembled media agencies, national programmers, streaming </w:t>
      </w:r>
      <w:proofErr w:type="gramStart"/>
      <w:r w:rsidRPr="00A03248">
        <w:rPr>
          <w:b w:val="0"/>
          <w:color w:val="151515"/>
          <w:sz w:val="22"/>
          <w:szCs w:val="22"/>
        </w:rPr>
        <w:t>platform</w:t>
      </w:r>
      <w:proofErr w:type="gramEnd"/>
      <w:r w:rsidRPr="00A03248">
        <w:rPr>
          <w:b w:val="0"/>
          <w:color w:val="151515"/>
          <w:sz w:val="22"/>
          <w:szCs w:val="22"/>
        </w:rPr>
        <w:t xml:space="preserve"> and trade association with participating companies responsible for setting the standards for new demo and advanced currencies. Led by OpenAP on behalf of the JIC, the operating group </w:t>
      </w:r>
      <w:r>
        <w:rPr>
          <w:b w:val="0"/>
          <w:color w:val="151515"/>
          <w:sz w:val="22"/>
          <w:szCs w:val="22"/>
        </w:rPr>
        <w:t>includes</w:t>
      </w:r>
      <w:r w:rsidRPr="00A03248">
        <w:rPr>
          <w:b w:val="0"/>
          <w:color w:val="151515"/>
          <w:sz w:val="22"/>
          <w:szCs w:val="22"/>
        </w:rPr>
        <w:t xml:space="preserve"> leading industry executives across investment, </w:t>
      </w:r>
      <w:proofErr w:type="gramStart"/>
      <w:r w:rsidRPr="00A03248">
        <w:rPr>
          <w:b w:val="0"/>
          <w:color w:val="151515"/>
          <w:sz w:val="22"/>
          <w:szCs w:val="22"/>
        </w:rPr>
        <w:t>research</w:t>
      </w:r>
      <w:proofErr w:type="gramEnd"/>
      <w:r w:rsidRPr="00A03248">
        <w:rPr>
          <w:b w:val="0"/>
          <w:color w:val="151515"/>
          <w:sz w:val="22"/>
          <w:szCs w:val="22"/>
        </w:rPr>
        <w:t xml:space="preserve"> and advanced activation functions from media agencies </w:t>
      </w:r>
      <w:proofErr w:type="spellStart"/>
      <w:r w:rsidRPr="00A03248">
        <w:rPr>
          <w:bCs/>
          <w:color w:val="151515"/>
          <w:sz w:val="22"/>
          <w:szCs w:val="22"/>
        </w:rPr>
        <w:t>Dentsu</w:t>
      </w:r>
      <w:proofErr w:type="spellEnd"/>
      <w:r w:rsidRPr="00A03248">
        <w:rPr>
          <w:bCs/>
          <w:color w:val="151515"/>
          <w:sz w:val="22"/>
          <w:szCs w:val="22"/>
        </w:rPr>
        <w:t>, GroupM, Horizon</w:t>
      </w:r>
      <w:r w:rsidR="000C79BF">
        <w:rPr>
          <w:bCs/>
          <w:color w:val="151515"/>
          <w:sz w:val="22"/>
          <w:szCs w:val="22"/>
        </w:rPr>
        <w:t xml:space="preserve"> Media</w:t>
      </w:r>
      <w:r w:rsidRPr="00A03248">
        <w:rPr>
          <w:bCs/>
          <w:color w:val="151515"/>
          <w:sz w:val="22"/>
          <w:szCs w:val="22"/>
        </w:rPr>
        <w:t xml:space="preserve">, </w:t>
      </w:r>
      <w:r w:rsidR="00764DE6" w:rsidRPr="00764DE6">
        <w:rPr>
          <w:bCs/>
          <w:color w:val="151515"/>
          <w:sz w:val="22"/>
          <w:szCs w:val="22"/>
        </w:rPr>
        <w:t xml:space="preserve">IPG </w:t>
      </w:r>
      <w:proofErr w:type="spellStart"/>
      <w:r w:rsidR="00764DE6" w:rsidRPr="00764DE6">
        <w:rPr>
          <w:bCs/>
          <w:color w:val="151515"/>
          <w:sz w:val="22"/>
          <w:szCs w:val="22"/>
        </w:rPr>
        <w:t>Mediabrands</w:t>
      </w:r>
      <w:proofErr w:type="spellEnd"/>
      <w:r w:rsidR="00D539C0" w:rsidRPr="00A03248">
        <w:rPr>
          <w:bCs/>
          <w:color w:val="151515"/>
          <w:sz w:val="22"/>
          <w:szCs w:val="22"/>
        </w:rPr>
        <w:t xml:space="preserve">, </w:t>
      </w:r>
      <w:r w:rsidRPr="00A03248">
        <w:rPr>
          <w:bCs/>
          <w:color w:val="151515"/>
          <w:sz w:val="22"/>
          <w:szCs w:val="22"/>
        </w:rPr>
        <w:t>Publicis</w:t>
      </w:r>
      <w:r w:rsidR="000C79BF">
        <w:rPr>
          <w:bCs/>
          <w:color w:val="151515"/>
          <w:sz w:val="22"/>
          <w:szCs w:val="22"/>
        </w:rPr>
        <w:t xml:space="preserve"> Media</w:t>
      </w:r>
      <w:r w:rsidRPr="00A03248">
        <w:rPr>
          <w:bCs/>
          <w:color w:val="151515"/>
          <w:sz w:val="22"/>
          <w:szCs w:val="22"/>
        </w:rPr>
        <w:t>, Omnicom Media Group,</w:t>
      </w:r>
      <w:r w:rsidRPr="00A03248">
        <w:rPr>
          <w:b w:val="0"/>
          <w:color w:val="151515"/>
          <w:sz w:val="22"/>
          <w:szCs w:val="22"/>
        </w:rPr>
        <w:t xml:space="preserve"> and</w:t>
      </w:r>
      <w:r w:rsidRPr="00A03248">
        <w:rPr>
          <w:bCs/>
          <w:color w:val="151515"/>
          <w:sz w:val="22"/>
          <w:szCs w:val="22"/>
        </w:rPr>
        <w:t xml:space="preserve"> RPA</w:t>
      </w:r>
      <w:r w:rsidRPr="00A03248">
        <w:rPr>
          <w:b w:val="0"/>
          <w:color w:val="151515"/>
          <w:sz w:val="22"/>
          <w:szCs w:val="22"/>
        </w:rPr>
        <w:t xml:space="preserve">; national programmers </w:t>
      </w:r>
      <w:r w:rsidRPr="00A03248">
        <w:rPr>
          <w:bCs/>
          <w:color w:val="151515"/>
          <w:sz w:val="22"/>
          <w:szCs w:val="22"/>
        </w:rPr>
        <w:t xml:space="preserve">A+E Networks, Hallmark Media, NBCUniversal, Paramount, </w:t>
      </w:r>
      <w:proofErr w:type="spellStart"/>
      <w:r w:rsidRPr="00A03248">
        <w:rPr>
          <w:bCs/>
          <w:color w:val="151515"/>
          <w:sz w:val="22"/>
          <w:szCs w:val="22"/>
        </w:rPr>
        <w:t>TelevisaUnivision</w:t>
      </w:r>
      <w:proofErr w:type="spellEnd"/>
      <w:r w:rsidRPr="00A03248">
        <w:rPr>
          <w:bCs/>
          <w:color w:val="151515"/>
          <w:sz w:val="22"/>
          <w:szCs w:val="22"/>
        </w:rPr>
        <w:t xml:space="preserve"> and Warner Bros Discovery</w:t>
      </w:r>
      <w:r w:rsidRPr="00A03248">
        <w:rPr>
          <w:b w:val="0"/>
          <w:color w:val="151515"/>
          <w:sz w:val="22"/>
          <w:szCs w:val="22"/>
        </w:rPr>
        <w:t xml:space="preserve">; streaming platform </w:t>
      </w:r>
      <w:r w:rsidRPr="00A03248">
        <w:rPr>
          <w:bCs/>
          <w:color w:val="151515"/>
          <w:sz w:val="22"/>
          <w:szCs w:val="22"/>
        </w:rPr>
        <w:t>Roku</w:t>
      </w:r>
      <w:r w:rsidRPr="00A03248">
        <w:rPr>
          <w:b w:val="0"/>
          <w:color w:val="151515"/>
          <w:sz w:val="22"/>
          <w:szCs w:val="22"/>
        </w:rPr>
        <w:t>, as well as the</w:t>
      </w:r>
      <w:r w:rsidRPr="00A03248">
        <w:rPr>
          <w:bCs/>
          <w:color w:val="151515"/>
          <w:sz w:val="22"/>
          <w:szCs w:val="22"/>
        </w:rPr>
        <w:t xml:space="preserve"> VAB</w:t>
      </w:r>
      <w:r w:rsidRPr="00A03248">
        <w:rPr>
          <w:b w:val="0"/>
          <w:color w:val="151515"/>
          <w:sz w:val="22"/>
          <w:szCs w:val="22"/>
        </w:rPr>
        <w:t>. </w:t>
      </w:r>
    </w:p>
    <w:p w14:paraId="0000001A" w14:textId="2B518DF7" w:rsidR="000F3FB2" w:rsidRDefault="000F3FB2">
      <w:pPr>
        <w:rPr>
          <w:b w:val="0"/>
          <w:color w:val="151515"/>
          <w:sz w:val="22"/>
          <w:szCs w:val="22"/>
        </w:rPr>
      </w:pPr>
    </w:p>
    <w:p w14:paraId="0000001C" w14:textId="1D25ADED" w:rsidR="000F3FB2" w:rsidRPr="00151B25" w:rsidRDefault="00151B25">
      <w:pPr>
        <w:rPr>
          <w:b w:val="0"/>
          <w:color w:val="151515"/>
          <w:sz w:val="22"/>
          <w:szCs w:val="22"/>
        </w:rPr>
      </w:pPr>
      <w:r w:rsidRPr="00151B25">
        <w:rPr>
          <w:b w:val="0"/>
          <w:i/>
          <w:iCs/>
          <w:color w:val="151515"/>
          <w:sz w:val="22"/>
          <w:szCs w:val="22"/>
        </w:rPr>
        <w:t xml:space="preserve">“Standardization across all measurement currencies is critical for our ability to scale a multicurrency future, and the infrastructure we create must work for both buyers and sellers. The announcement of the JIC's initial set of requirements for cross-platform transactions is the first step toward creating a future for video advertising that reflects how people are consuming video today. We believe it will ultimately spur competition and innovation in measurement,” </w:t>
      </w:r>
      <w:r w:rsidRPr="00151B25">
        <w:rPr>
          <w:b w:val="0"/>
          <w:color w:val="151515"/>
          <w:sz w:val="22"/>
          <w:szCs w:val="22"/>
        </w:rPr>
        <w:t xml:space="preserve">said </w:t>
      </w:r>
      <w:r w:rsidR="003B1514" w:rsidRPr="003B1514">
        <w:rPr>
          <w:bCs/>
          <w:color w:val="151515"/>
          <w:sz w:val="22"/>
          <w:szCs w:val="22"/>
        </w:rPr>
        <w:t xml:space="preserve">Celeste Castle, </w:t>
      </w:r>
      <w:r w:rsidR="003B1514" w:rsidRPr="003B1514">
        <w:rPr>
          <w:b w:val="0"/>
          <w:color w:val="151515"/>
          <w:sz w:val="22"/>
          <w:szCs w:val="22"/>
        </w:rPr>
        <w:t xml:space="preserve">EVP, Head of Research and Measurement, </w:t>
      </w:r>
      <w:proofErr w:type="spellStart"/>
      <w:r w:rsidR="003B1514" w:rsidRPr="003B1514">
        <w:rPr>
          <w:b w:val="0"/>
          <w:color w:val="151515"/>
          <w:sz w:val="22"/>
          <w:szCs w:val="22"/>
        </w:rPr>
        <w:t>dentsu</w:t>
      </w:r>
      <w:proofErr w:type="spellEnd"/>
      <w:r w:rsidR="003B1514" w:rsidRPr="003B1514">
        <w:rPr>
          <w:b w:val="0"/>
          <w:color w:val="151515"/>
          <w:sz w:val="22"/>
          <w:szCs w:val="22"/>
        </w:rPr>
        <w:t xml:space="preserve"> Media US</w:t>
      </w:r>
      <w:r w:rsidRPr="00151B25">
        <w:rPr>
          <w:b w:val="0"/>
          <w:color w:val="151515"/>
          <w:sz w:val="22"/>
          <w:szCs w:val="22"/>
        </w:rPr>
        <w:t>; </w:t>
      </w:r>
      <w:proofErr w:type="spellStart"/>
      <w:r w:rsidRPr="00151B25">
        <w:rPr>
          <w:bCs/>
          <w:color w:val="151515"/>
          <w:sz w:val="22"/>
          <w:szCs w:val="22"/>
        </w:rPr>
        <w:t>Bharad</w:t>
      </w:r>
      <w:proofErr w:type="spellEnd"/>
      <w:r w:rsidRPr="00151B25">
        <w:rPr>
          <w:bCs/>
          <w:color w:val="151515"/>
          <w:sz w:val="22"/>
          <w:szCs w:val="22"/>
        </w:rPr>
        <w:t xml:space="preserve"> Ramesh</w:t>
      </w:r>
      <w:r w:rsidRPr="00151B25">
        <w:rPr>
          <w:b w:val="0"/>
          <w:color w:val="151515"/>
          <w:sz w:val="22"/>
          <w:szCs w:val="22"/>
        </w:rPr>
        <w:t>, Executive Director, Research &amp; Investment Analytics, GroupM; </w:t>
      </w:r>
      <w:r w:rsidRPr="00151B25">
        <w:rPr>
          <w:bCs/>
          <w:color w:val="151515"/>
          <w:sz w:val="22"/>
          <w:szCs w:val="22"/>
        </w:rPr>
        <w:t>Lauren Chaplin</w:t>
      </w:r>
      <w:r w:rsidRPr="00151B25">
        <w:rPr>
          <w:b w:val="0"/>
          <w:color w:val="151515"/>
          <w:sz w:val="22"/>
          <w:szCs w:val="22"/>
        </w:rPr>
        <w:t xml:space="preserve">, SVP, Director Video Investment at Horizon </w:t>
      </w:r>
      <w:r w:rsidRPr="009566AC">
        <w:rPr>
          <w:b w:val="0"/>
          <w:color w:val="151515"/>
          <w:sz w:val="22"/>
          <w:szCs w:val="22"/>
        </w:rPr>
        <w:t>Media; </w:t>
      </w:r>
      <w:r w:rsidRPr="009566AC">
        <w:rPr>
          <w:bCs/>
          <w:color w:val="151515"/>
          <w:sz w:val="22"/>
          <w:szCs w:val="22"/>
        </w:rPr>
        <w:t>Brian Hughes</w:t>
      </w:r>
      <w:r w:rsidRPr="009566AC">
        <w:rPr>
          <w:b w:val="0"/>
          <w:color w:val="151515"/>
          <w:sz w:val="22"/>
          <w:szCs w:val="22"/>
        </w:rPr>
        <w:t xml:space="preserve">, </w:t>
      </w:r>
      <w:r w:rsidR="009566AC" w:rsidRPr="009566AC">
        <w:rPr>
          <w:b w:val="0"/>
          <w:bCs/>
          <w:color w:val="151515"/>
          <w:sz w:val="22"/>
          <w:szCs w:val="22"/>
        </w:rPr>
        <w:t xml:space="preserve">EVP, Managing Director, </w:t>
      </w:r>
      <w:r w:rsidR="009566AC" w:rsidRPr="00764DE6">
        <w:rPr>
          <w:b w:val="0"/>
          <w:bCs/>
          <w:color w:val="151515"/>
          <w:sz w:val="22"/>
          <w:szCs w:val="22"/>
        </w:rPr>
        <w:t>Audience Intelligence &amp; Strategy</w:t>
      </w:r>
      <w:r w:rsidRPr="00764DE6">
        <w:rPr>
          <w:b w:val="0"/>
          <w:bCs/>
          <w:color w:val="151515"/>
          <w:sz w:val="22"/>
          <w:szCs w:val="22"/>
        </w:rPr>
        <w:t xml:space="preserve"> </w:t>
      </w:r>
      <w:r w:rsidR="009566AC" w:rsidRPr="00764DE6">
        <w:rPr>
          <w:b w:val="0"/>
          <w:bCs/>
          <w:color w:val="151515"/>
          <w:sz w:val="22"/>
          <w:szCs w:val="22"/>
        </w:rPr>
        <w:t>at</w:t>
      </w:r>
      <w:r w:rsidR="00921DA5" w:rsidRPr="00764DE6">
        <w:rPr>
          <w:b w:val="0"/>
          <w:bCs/>
          <w:color w:val="151515"/>
          <w:sz w:val="22"/>
          <w:szCs w:val="22"/>
        </w:rPr>
        <w:t xml:space="preserve"> </w:t>
      </w:r>
      <w:r w:rsidR="00764DE6" w:rsidRPr="00764DE6">
        <w:rPr>
          <w:b w:val="0"/>
          <w:bCs/>
          <w:color w:val="151515"/>
          <w:sz w:val="22"/>
          <w:szCs w:val="22"/>
        </w:rPr>
        <w:t xml:space="preserve">MAGNA, the investment and intelligence arm of IPG </w:t>
      </w:r>
      <w:proofErr w:type="spellStart"/>
      <w:r w:rsidR="00764DE6" w:rsidRPr="00764DE6">
        <w:rPr>
          <w:b w:val="0"/>
          <w:bCs/>
          <w:color w:val="151515"/>
          <w:sz w:val="22"/>
          <w:szCs w:val="22"/>
        </w:rPr>
        <w:t>Mediabrands</w:t>
      </w:r>
      <w:proofErr w:type="spellEnd"/>
      <w:r w:rsidRPr="009566AC">
        <w:rPr>
          <w:b w:val="0"/>
          <w:color w:val="151515"/>
          <w:sz w:val="22"/>
          <w:szCs w:val="22"/>
        </w:rPr>
        <w:t>; </w:t>
      </w:r>
      <w:r w:rsidRPr="009566AC">
        <w:rPr>
          <w:bCs/>
          <w:color w:val="151515"/>
          <w:sz w:val="22"/>
          <w:szCs w:val="22"/>
        </w:rPr>
        <w:t>Kelly</w:t>
      </w:r>
      <w:r w:rsidRPr="00151B25">
        <w:rPr>
          <w:bCs/>
          <w:color w:val="151515"/>
          <w:sz w:val="22"/>
          <w:szCs w:val="22"/>
        </w:rPr>
        <w:t xml:space="preserve"> Metz</w:t>
      </w:r>
      <w:r w:rsidRPr="00151B25">
        <w:rPr>
          <w:b w:val="0"/>
          <w:color w:val="151515"/>
          <w:sz w:val="22"/>
          <w:szCs w:val="22"/>
        </w:rPr>
        <w:t xml:space="preserve">, Managing Director, Advanced TV Activation at Omnicom Media Group; </w:t>
      </w:r>
      <w:r w:rsidR="009E6DB0">
        <w:rPr>
          <w:b w:val="0"/>
          <w:color w:val="151515"/>
          <w:sz w:val="22"/>
          <w:szCs w:val="22"/>
        </w:rPr>
        <w:t xml:space="preserve">and </w:t>
      </w:r>
      <w:r w:rsidRPr="00151B25">
        <w:rPr>
          <w:bCs/>
          <w:color w:val="151515"/>
          <w:sz w:val="22"/>
          <w:szCs w:val="22"/>
        </w:rPr>
        <w:t>Helen Katz</w:t>
      </w:r>
      <w:r w:rsidRPr="00151B25">
        <w:rPr>
          <w:b w:val="0"/>
          <w:color w:val="151515"/>
          <w:sz w:val="22"/>
          <w:szCs w:val="22"/>
        </w:rPr>
        <w:t>, EVP, Research, at Publicis Media in a joint statement.</w:t>
      </w:r>
    </w:p>
    <w:p w14:paraId="7FBF9AFD" w14:textId="77777777" w:rsidR="00151B25" w:rsidRPr="00151B25" w:rsidRDefault="00151B25">
      <w:pPr>
        <w:rPr>
          <w:b w:val="0"/>
          <w:color w:val="151515"/>
          <w:sz w:val="22"/>
          <w:szCs w:val="22"/>
        </w:rPr>
      </w:pPr>
    </w:p>
    <w:p w14:paraId="0000001E" w14:textId="11A79091" w:rsidR="000F3FB2" w:rsidRPr="005339ED" w:rsidRDefault="005339ED">
      <w:pPr>
        <w:rPr>
          <w:b w:val="0"/>
          <w:bCs/>
          <w:color w:val="151515"/>
          <w:sz w:val="22"/>
          <w:szCs w:val="22"/>
        </w:rPr>
      </w:pPr>
      <w:r w:rsidRPr="00434477">
        <w:rPr>
          <w:b w:val="0"/>
          <w:bCs/>
          <w:i/>
          <w:iCs/>
          <w:color w:val="151515"/>
          <w:sz w:val="22"/>
          <w:szCs w:val="22"/>
        </w:rPr>
        <w:t>“From the beginning, we have been clear that buyers and sellers need to work together to build a more sustainable future for premium video advertising. We believe that if we’re going to transform the way video is measured, the buying community must have a seat at the table in defining new standards. By reaching consensus on minimum requirements within this ambitious timeline, we are together demonstrating the significance and impact of industry-wide collaboration,”</w:t>
      </w:r>
      <w:r w:rsidRPr="005339ED">
        <w:rPr>
          <w:b w:val="0"/>
          <w:bCs/>
          <w:color w:val="151515"/>
          <w:sz w:val="22"/>
          <w:szCs w:val="22"/>
        </w:rPr>
        <w:t xml:space="preserve"> </w:t>
      </w:r>
      <w:r w:rsidRPr="00151B25">
        <w:rPr>
          <w:color w:val="151515"/>
          <w:sz w:val="22"/>
          <w:szCs w:val="22"/>
        </w:rPr>
        <w:t>David Levy</w:t>
      </w:r>
      <w:r w:rsidRPr="005339ED">
        <w:rPr>
          <w:b w:val="0"/>
          <w:bCs/>
          <w:color w:val="151515"/>
          <w:sz w:val="22"/>
          <w:szCs w:val="22"/>
        </w:rPr>
        <w:t>, CEO of OpenAP.</w:t>
      </w:r>
    </w:p>
    <w:p w14:paraId="6461BC93" w14:textId="77777777" w:rsidR="005339ED" w:rsidRDefault="005339ED">
      <w:pPr>
        <w:rPr>
          <w:b w:val="0"/>
          <w:color w:val="151515"/>
          <w:sz w:val="22"/>
          <w:szCs w:val="22"/>
        </w:rPr>
      </w:pPr>
    </w:p>
    <w:p w14:paraId="0000001F" w14:textId="12B05944" w:rsidR="000F3FB2" w:rsidRDefault="00000000">
      <w:pPr>
        <w:rPr>
          <w:b w:val="0"/>
          <w:color w:val="151515"/>
          <w:sz w:val="22"/>
          <w:szCs w:val="22"/>
        </w:rPr>
      </w:pPr>
      <w:hyperlink r:id="rId8">
        <w:r w:rsidR="00B47E89">
          <w:rPr>
            <w:b w:val="0"/>
            <w:color w:val="0000FF"/>
            <w:sz w:val="22"/>
            <w:szCs w:val="22"/>
            <w:u w:val="single"/>
          </w:rPr>
          <w:t>Announced in January 2023</w:t>
        </w:r>
      </w:hyperlink>
      <w:r w:rsidR="009E6DB0">
        <w:rPr>
          <w:b w:val="0"/>
          <w:color w:val="0000FF"/>
          <w:sz w:val="22"/>
          <w:szCs w:val="22"/>
          <w:u w:val="single"/>
        </w:rPr>
        <w:t>,</w:t>
      </w:r>
      <w:r w:rsidR="00B47E89">
        <w:rPr>
          <w:b w:val="0"/>
          <w:color w:val="151515"/>
          <w:sz w:val="22"/>
          <w:szCs w:val="22"/>
        </w:rPr>
        <w:t xml:space="preserve"> the primary focus of the JIC is to </w:t>
      </w:r>
      <w:r w:rsidR="00B47E89">
        <w:rPr>
          <w:color w:val="151515"/>
          <w:sz w:val="22"/>
          <w:szCs w:val="22"/>
        </w:rPr>
        <w:t xml:space="preserve">establish and maintain a measurement certification process </w:t>
      </w:r>
      <w:r w:rsidR="00B47E89">
        <w:rPr>
          <w:b w:val="0"/>
          <w:color w:val="151515"/>
          <w:sz w:val="22"/>
          <w:szCs w:val="22"/>
        </w:rPr>
        <w:t xml:space="preserve">for third-party measurement vendors conducting cross-platform premium video currency services and to </w:t>
      </w:r>
      <w:r w:rsidR="00B47E89">
        <w:rPr>
          <w:color w:val="151515"/>
          <w:sz w:val="22"/>
          <w:szCs w:val="22"/>
        </w:rPr>
        <w:t>create a programmer data set to enable third-party measurement</w:t>
      </w:r>
      <w:r w:rsidR="00B47E89">
        <w:rPr>
          <w:b w:val="0"/>
          <w:color w:val="151515"/>
          <w:sz w:val="22"/>
          <w:szCs w:val="22"/>
        </w:rPr>
        <w:t xml:space="preserve"> by harmonizing streaming viewership data brought together by OpenAP infrastructure. </w:t>
      </w:r>
    </w:p>
    <w:p w14:paraId="10FA5920" w14:textId="6F39E88E" w:rsidR="00704AFD" w:rsidRDefault="00704AFD">
      <w:pPr>
        <w:rPr>
          <w:b w:val="0"/>
          <w:color w:val="151515"/>
          <w:sz w:val="22"/>
          <w:szCs w:val="22"/>
          <w:highlight w:val="yellow"/>
        </w:rPr>
      </w:pPr>
    </w:p>
    <w:p w14:paraId="058EE7BE" w14:textId="77777777" w:rsidR="00704AFD" w:rsidRPr="00704AFD" w:rsidRDefault="00704AFD" w:rsidP="00704AFD">
      <w:pPr>
        <w:rPr>
          <w:b w:val="0"/>
          <w:color w:val="151515"/>
          <w:sz w:val="22"/>
          <w:szCs w:val="22"/>
        </w:rPr>
      </w:pPr>
      <w:r w:rsidRPr="00704AFD">
        <w:rPr>
          <w:bCs/>
          <w:color w:val="151515"/>
          <w:sz w:val="22"/>
          <w:szCs w:val="22"/>
        </w:rPr>
        <w:t>About OpenAP</w:t>
      </w:r>
    </w:p>
    <w:p w14:paraId="565D1015" w14:textId="77777777" w:rsidR="00704AFD" w:rsidRPr="00704AFD" w:rsidRDefault="00704AFD" w:rsidP="00704AFD">
      <w:pPr>
        <w:rPr>
          <w:b w:val="0"/>
          <w:color w:val="151515"/>
          <w:sz w:val="22"/>
          <w:szCs w:val="22"/>
        </w:rPr>
      </w:pPr>
      <w:r w:rsidRPr="00704AFD">
        <w:rPr>
          <w:b w:val="0"/>
          <w:color w:val="151515"/>
          <w:sz w:val="22"/>
          <w:szCs w:val="22"/>
        </w:rPr>
        <w:t xml:space="preserve">OpenAP is the advanced advertising company bringing simplicity and scale to audience-based campaigns in television. Powered by a standards-based approach to data activation, we enable advertisers to onboard audiences centrally for use in planning, campaign execution and measurement across the largest footprint of premium video advertising. OpenAP makes it possible for unified ID-based audiences to be used for targeting and measurement across any TV publisher in both linear and digital viewing environments. Our technology is open and interoperable, delivering workflow automation and efficiencies on advanced audience campaigns for agencies, </w:t>
      </w:r>
      <w:proofErr w:type="gramStart"/>
      <w:r w:rsidRPr="00704AFD">
        <w:rPr>
          <w:b w:val="0"/>
          <w:color w:val="151515"/>
          <w:sz w:val="22"/>
          <w:szCs w:val="22"/>
        </w:rPr>
        <w:t>brands</w:t>
      </w:r>
      <w:proofErr w:type="gramEnd"/>
      <w:r w:rsidRPr="00704AFD">
        <w:rPr>
          <w:b w:val="0"/>
          <w:color w:val="151515"/>
          <w:sz w:val="22"/>
          <w:szCs w:val="22"/>
        </w:rPr>
        <w:t xml:space="preserve"> and publishers. For more information, visit www.openap.tv and follow @OpenAPTV on Twitter and LinkedIn. </w:t>
      </w:r>
    </w:p>
    <w:p w14:paraId="1B9B77D0" w14:textId="77777777" w:rsidR="00704AFD" w:rsidRDefault="00704AFD">
      <w:pPr>
        <w:rPr>
          <w:b w:val="0"/>
          <w:color w:val="151515"/>
          <w:sz w:val="22"/>
          <w:szCs w:val="22"/>
          <w:highlight w:val="yellow"/>
        </w:rPr>
      </w:pPr>
    </w:p>
    <w:p w14:paraId="70DE68FA" w14:textId="1EA14062" w:rsidR="00120C94" w:rsidRDefault="00120C94">
      <w:pPr>
        <w:rPr>
          <w:b w:val="0"/>
          <w:color w:val="151515"/>
          <w:sz w:val="22"/>
          <w:szCs w:val="22"/>
          <w:highlight w:val="yellow"/>
        </w:rPr>
      </w:pPr>
      <w:r>
        <w:rPr>
          <w:b w:val="0"/>
          <w:color w:val="151515"/>
          <w:sz w:val="22"/>
          <w:szCs w:val="22"/>
          <w:highlight w:val="yellow"/>
        </w:rPr>
        <w:t xml:space="preserve"> </w:t>
      </w:r>
    </w:p>
    <w:p w14:paraId="47BFA3E6" w14:textId="7C48C99D" w:rsidR="000C4603" w:rsidRDefault="000C4603">
      <w:pPr>
        <w:rPr>
          <w:b w:val="0"/>
          <w:color w:val="151515"/>
          <w:sz w:val="22"/>
          <w:szCs w:val="22"/>
          <w:highlight w:val="yellow"/>
        </w:rPr>
      </w:pPr>
    </w:p>
    <w:sectPr w:rsidR="000C4603">
      <w:headerReference w:type="even" r:id="rId9"/>
      <w:headerReference w:type="default" r:id="rId10"/>
      <w:footerReference w:type="even" r:id="rId11"/>
      <w:footerReference w:type="default" r:id="rId12"/>
      <w:headerReference w:type="first" r:id="rId13"/>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194A" w14:textId="77777777" w:rsidR="00C5016F" w:rsidRDefault="00C5016F">
      <w:r>
        <w:separator/>
      </w:r>
    </w:p>
  </w:endnote>
  <w:endnote w:type="continuationSeparator" w:id="0">
    <w:p w14:paraId="0F25A268" w14:textId="77777777" w:rsidR="00C5016F" w:rsidRDefault="00C5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0F3FB2" w:rsidRDefault="00B47E89">
    <w:pPr>
      <w:pBdr>
        <w:top w:val="nil"/>
        <w:left w:val="nil"/>
        <w:bottom w:val="nil"/>
        <w:right w:val="nil"/>
        <w:between w:val="nil"/>
      </w:pBdr>
      <w:tabs>
        <w:tab w:val="center" w:pos="4680"/>
        <w:tab w:val="right" w:pos="9360"/>
      </w:tabs>
      <w:jc w:val="right"/>
      <w:rPr>
        <w:b w:val="0"/>
        <w:sz w:val="20"/>
        <w:szCs w:val="20"/>
      </w:rPr>
    </w:pPr>
    <w:r>
      <w:rPr>
        <w:b w:val="0"/>
        <w:sz w:val="20"/>
        <w:szCs w:val="20"/>
      </w:rPr>
      <w:fldChar w:fldCharType="begin"/>
    </w:r>
    <w:r>
      <w:rPr>
        <w:b w:val="0"/>
        <w:sz w:val="20"/>
        <w:szCs w:val="20"/>
      </w:rPr>
      <w:instrText>PAGE</w:instrText>
    </w:r>
    <w:r w:rsidR="00000000">
      <w:rPr>
        <w:b w:val="0"/>
        <w:sz w:val="20"/>
        <w:szCs w:val="20"/>
      </w:rPr>
      <w:fldChar w:fldCharType="separate"/>
    </w:r>
    <w:r>
      <w:rPr>
        <w:b w:val="0"/>
        <w:sz w:val="20"/>
        <w:szCs w:val="20"/>
      </w:rPr>
      <w:fldChar w:fldCharType="end"/>
    </w:r>
  </w:p>
  <w:p w14:paraId="00000025" w14:textId="77777777" w:rsidR="000F3FB2" w:rsidRDefault="000F3FB2">
    <w:pPr>
      <w:pBdr>
        <w:top w:val="nil"/>
        <w:left w:val="nil"/>
        <w:bottom w:val="nil"/>
        <w:right w:val="nil"/>
        <w:between w:val="nil"/>
      </w:pBdr>
      <w:tabs>
        <w:tab w:val="center" w:pos="4680"/>
        <w:tab w:val="right" w:pos="936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0F3FB2" w:rsidRDefault="000F3FB2">
    <w:pPr>
      <w:pBdr>
        <w:top w:val="nil"/>
        <w:left w:val="nil"/>
        <w:bottom w:val="nil"/>
        <w:right w:val="nil"/>
        <w:between w:val="nil"/>
      </w:pBdr>
      <w:tabs>
        <w:tab w:val="center" w:pos="4680"/>
        <w:tab w:val="right" w:pos="9360"/>
      </w:tabs>
      <w:ind w:right="360"/>
      <w:rPr>
        <w:rFonts w:ascii="Arial Rounded" w:eastAsia="Arial Rounded" w:hAnsi="Arial Rounded" w:cs="Arial Rounded"/>
        <w:color w:val="0D64FF"/>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BCD9" w14:textId="77777777" w:rsidR="00C5016F" w:rsidRDefault="00C5016F">
      <w:r>
        <w:separator/>
      </w:r>
    </w:p>
  </w:footnote>
  <w:footnote w:type="continuationSeparator" w:id="0">
    <w:p w14:paraId="50D998AD" w14:textId="77777777" w:rsidR="00C5016F" w:rsidRDefault="00C50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0F3FB2" w:rsidRDefault="00C5016F">
    <w:pPr>
      <w:pBdr>
        <w:top w:val="nil"/>
        <w:left w:val="nil"/>
        <w:bottom w:val="nil"/>
        <w:right w:val="nil"/>
        <w:between w:val="nil"/>
      </w:pBdr>
      <w:tabs>
        <w:tab w:val="center" w:pos="4680"/>
        <w:tab w:val="right" w:pos="9360"/>
      </w:tabs>
    </w:pPr>
    <w:r>
      <w:pict w14:anchorId="62BE8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918pt;height:1188pt;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0F3FB2" w:rsidRDefault="000F3FB2">
    <w:pPr>
      <w:pBdr>
        <w:top w:val="nil"/>
        <w:left w:val="nil"/>
        <w:bottom w:val="nil"/>
        <w:right w:val="nil"/>
        <w:between w:val="nil"/>
      </w:pBd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0F3FB2" w:rsidRDefault="000F3FB2">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75F96"/>
    <w:multiLevelType w:val="multilevel"/>
    <w:tmpl w:val="7F94F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5370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B2"/>
    <w:rsid w:val="00000C8B"/>
    <w:rsid w:val="000C12DB"/>
    <w:rsid w:val="000C4603"/>
    <w:rsid w:val="000C7366"/>
    <w:rsid w:val="000C79BF"/>
    <w:rsid w:val="000F3FB2"/>
    <w:rsid w:val="00114BBE"/>
    <w:rsid w:val="00120C94"/>
    <w:rsid w:val="001331AA"/>
    <w:rsid w:val="00151B25"/>
    <w:rsid w:val="00191757"/>
    <w:rsid w:val="00204C7D"/>
    <w:rsid w:val="00254BE9"/>
    <w:rsid w:val="00293921"/>
    <w:rsid w:val="00293EE0"/>
    <w:rsid w:val="002D0A09"/>
    <w:rsid w:val="003B1514"/>
    <w:rsid w:val="003D5671"/>
    <w:rsid w:val="0041507C"/>
    <w:rsid w:val="00434477"/>
    <w:rsid w:val="004B58D1"/>
    <w:rsid w:val="004B77E4"/>
    <w:rsid w:val="005339ED"/>
    <w:rsid w:val="00571A85"/>
    <w:rsid w:val="005A24F1"/>
    <w:rsid w:val="005A3E6A"/>
    <w:rsid w:val="005A6597"/>
    <w:rsid w:val="006558FC"/>
    <w:rsid w:val="006614EE"/>
    <w:rsid w:val="00677181"/>
    <w:rsid w:val="006F534C"/>
    <w:rsid w:val="0070116F"/>
    <w:rsid w:val="00704AFD"/>
    <w:rsid w:val="00721A80"/>
    <w:rsid w:val="00764DE6"/>
    <w:rsid w:val="00783ECB"/>
    <w:rsid w:val="007D1A32"/>
    <w:rsid w:val="007E7467"/>
    <w:rsid w:val="00813456"/>
    <w:rsid w:val="00873509"/>
    <w:rsid w:val="008F5E26"/>
    <w:rsid w:val="0090177E"/>
    <w:rsid w:val="00921DA5"/>
    <w:rsid w:val="00930AFB"/>
    <w:rsid w:val="00932480"/>
    <w:rsid w:val="009566AC"/>
    <w:rsid w:val="009568F1"/>
    <w:rsid w:val="009C44CB"/>
    <w:rsid w:val="009E36F1"/>
    <w:rsid w:val="009E6DB0"/>
    <w:rsid w:val="00A03248"/>
    <w:rsid w:val="00A15D67"/>
    <w:rsid w:val="00A237A8"/>
    <w:rsid w:val="00A2385B"/>
    <w:rsid w:val="00A61C00"/>
    <w:rsid w:val="00A94EE1"/>
    <w:rsid w:val="00AE60CC"/>
    <w:rsid w:val="00B22C1E"/>
    <w:rsid w:val="00B24203"/>
    <w:rsid w:val="00B255F4"/>
    <w:rsid w:val="00B26050"/>
    <w:rsid w:val="00B47E89"/>
    <w:rsid w:val="00BD6647"/>
    <w:rsid w:val="00C5016F"/>
    <w:rsid w:val="00C66DB8"/>
    <w:rsid w:val="00C93539"/>
    <w:rsid w:val="00D235E8"/>
    <w:rsid w:val="00D539C0"/>
    <w:rsid w:val="00D87485"/>
    <w:rsid w:val="00DB3CB9"/>
    <w:rsid w:val="00E216E9"/>
    <w:rsid w:val="00E500EF"/>
    <w:rsid w:val="00E573B2"/>
    <w:rsid w:val="00E65868"/>
    <w:rsid w:val="00EA5FC0"/>
    <w:rsid w:val="00EB1D6F"/>
    <w:rsid w:val="00EB54E1"/>
    <w:rsid w:val="00ED1677"/>
    <w:rsid w:val="00EE1C3A"/>
    <w:rsid w:val="00F0352B"/>
    <w:rsid w:val="00F0743E"/>
    <w:rsid w:val="00F51710"/>
    <w:rsid w:val="00F75C1E"/>
    <w:rsid w:val="00F76079"/>
    <w:rsid w:val="00F91411"/>
    <w:rsid w:val="00FA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83010"/>
  <w15:docId w15:val="{2CF06362-3C91-FD48-B6BA-292726F6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b/>
        <w:color w:val="002060"/>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Arial Rounded" w:eastAsia="Arial Rounded" w:hAnsi="Arial Rounded" w:cs="Arial Rounded"/>
      <w:color w:val="0D64FF"/>
      <w:sz w:val="32"/>
      <w:szCs w:val="32"/>
    </w:rPr>
  </w:style>
  <w:style w:type="paragraph" w:styleId="Heading2">
    <w:name w:val="heading 2"/>
    <w:basedOn w:val="Normal"/>
    <w:next w:val="Normal"/>
    <w:uiPriority w:val="9"/>
    <w:semiHidden/>
    <w:unhideWhenUsed/>
    <w:qFormat/>
    <w:pPr>
      <w:keepNext/>
      <w:keepLines/>
      <w:spacing w:before="40"/>
      <w:outlineLvl w:val="1"/>
    </w:pPr>
    <w:rPr>
      <w:color w:val="151515"/>
      <w:sz w:val="28"/>
      <w:szCs w:val="28"/>
    </w:rPr>
  </w:style>
  <w:style w:type="paragraph" w:styleId="Heading3">
    <w:name w:val="heading 3"/>
    <w:basedOn w:val="Normal"/>
    <w:next w:val="Normal"/>
    <w:uiPriority w:val="9"/>
    <w:semiHidden/>
    <w:unhideWhenUsed/>
    <w:qFormat/>
    <w:pPr>
      <w:keepNext/>
      <w:keepLines/>
      <w:spacing w:before="40"/>
      <w:outlineLvl w:val="2"/>
    </w:pPr>
    <w:rPr>
      <w:sz w:val="22"/>
      <w:szCs w:val="22"/>
    </w:rPr>
  </w:style>
  <w:style w:type="paragraph" w:styleId="Heading4">
    <w:name w:val="heading 4"/>
    <w:basedOn w:val="Normal"/>
    <w:next w:val="Normal"/>
    <w:uiPriority w:val="9"/>
    <w:semiHidden/>
    <w:unhideWhenUsed/>
    <w:qFormat/>
    <w:pPr>
      <w:keepNext/>
      <w:keepLines/>
      <w:spacing w:before="40"/>
      <w:outlineLvl w:val="3"/>
    </w:pPr>
    <w:rPr>
      <w:color w:val="A6A6A6"/>
    </w:rPr>
  </w:style>
  <w:style w:type="paragraph" w:styleId="Heading5">
    <w:name w:val="heading 5"/>
    <w:basedOn w:val="Normal"/>
    <w:next w:val="Normal"/>
    <w:uiPriority w:val="9"/>
    <w:semiHidden/>
    <w:unhideWhenUsed/>
    <w:qFormat/>
    <w:pPr>
      <w:keepNext/>
      <w:keepLines/>
      <w:spacing w:before="40"/>
      <w:outlineLvl w:val="4"/>
    </w:pPr>
    <w:rPr>
      <w:color w:val="A6A6A6"/>
    </w:rPr>
  </w:style>
  <w:style w:type="paragraph" w:styleId="Heading6">
    <w:name w:val="heading 6"/>
    <w:basedOn w:val="Normal"/>
    <w:next w:val="Normal"/>
    <w:uiPriority w:val="9"/>
    <w:semiHidden/>
    <w:unhideWhenUsed/>
    <w:qFormat/>
    <w:pPr>
      <w:keepNext/>
      <w:keepLines/>
      <w:spacing w:before="4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Arial Rounded" w:eastAsia="Arial Rounded" w:hAnsi="Arial Rounded" w:cs="Arial Rounded"/>
      <w:color w:val="0D64FF"/>
      <w:sz w:val="56"/>
      <w:szCs w:val="56"/>
    </w:rPr>
  </w:style>
  <w:style w:type="paragraph" w:styleId="Subtitle">
    <w:name w:val="Subtitle"/>
    <w:basedOn w:val="Normal"/>
    <w:next w:val="Normal"/>
    <w:uiPriority w:val="11"/>
    <w:qFormat/>
    <w:pPr>
      <w:spacing w:after="160"/>
    </w:pPr>
    <w:rPr>
      <w:rFonts w:ascii="Arial Rounded" w:eastAsia="Arial Rounded" w:hAnsi="Arial Rounded" w:cs="Arial Rounded"/>
      <w:sz w:val="22"/>
      <w:szCs w:val="22"/>
    </w:rPr>
  </w:style>
  <w:style w:type="paragraph" w:styleId="NormalWeb">
    <w:name w:val="Normal (Web)"/>
    <w:basedOn w:val="Normal"/>
    <w:uiPriority w:val="99"/>
    <w:semiHidden/>
    <w:unhideWhenUsed/>
    <w:rsid w:val="007521B8"/>
    <w:rPr>
      <w:rFonts w:ascii="Times New Roman" w:hAnsi="Times New Roman" w:cs="Times New Roman"/>
      <w:sz w:val="24"/>
      <w:szCs w:val="24"/>
    </w:rPr>
  </w:style>
  <w:style w:type="character" w:customStyle="1" w:styleId="Heading1Char">
    <w:name w:val="Heading 1 Char"/>
    <w:basedOn w:val="DefaultParagraphFont"/>
    <w:link w:val="Heading1"/>
    <w:uiPriority w:val="9"/>
    <w:rsid w:val="001C1D6F"/>
    <w:rPr>
      <w:rFonts w:ascii="Arial Rounded" w:eastAsia="Arial Rounded" w:hAnsi="Arial Rounded" w:cs="Arial Rounded"/>
      <w:color w:val="0D64FF"/>
      <w:sz w:val="32"/>
      <w:szCs w:val="32"/>
    </w:rPr>
  </w:style>
  <w:style w:type="paragraph" w:styleId="Footer">
    <w:name w:val="footer"/>
    <w:basedOn w:val="Normal"/>
    <w:link w:val="FooterChar"/>
    <w:uiPriority w:val="99"/>
    <w:unhideWhenUsed/>
    <w:rsid w:val="00A018BF"/>
    <w:pPr>
      <w:tabs>
        <w:tab w:val="center" w:pos="4680"/>
        <w:tab w:val="right" w:pos="9360"/>
      </w:tabs>
    </w:pPr>
  </w:style>
  <w:style w:type="character" w:customStyle="1" w:styleId="FooterChar">
    <w:name w:val="Footer Char"/>
    <w:basedOn w:val="DefaultParagraphFont"/>
    <w:link w:val="Footer"/>
    <w:uiPriority w:val="99"/>
    <w:rsid w:val="00A018BF"/>
  </w:style>
  <w:style w:type="character" w:styleId="CommentReference">
    <w:name w:val="annotation reference"/>
    <w:basedOn w:val="DefaultParagraphFont"/>
    <w:uiPriority w:val="99"/>
    <w:semiHidden/>
    <w:unhideWhenUsed/>
    <w:rsid w:val="00326ADB"/>
    <w:rPr>
      <w:sz w:val="16"/>
      <w:szCs w:val="16"/>
    </w:rPr>
  </w:style>
  <w:style w:type="paragraph" w:styleId="CommentText">
    <w:name w:val="annotation text"/>
    <w:basedOn w:val="Normal"/>
    <w:link w:val="CommentTextChar"/>
    <w:uiPriority w:val="99"/>
    <w:semiHidden/>
    <w:unhideWhenUsed/>
    <w:rsid w:val="00326ADB"/>
    <w:rPr>
      <w:sz w:val="20"/>
      <w:szCs w:val="20"/>
    </w:rPr>
  </w:style>
  <w:style w:type="character" w:customStyle="1" w:styleId="CommentTextChar">
    <w:name w:val="Comment Text Char"/>
    <w:basedOn w:val="DefaultParagraphFont"/>
    <w:link w:val="CommentText"/>
    <w:uiPriority w:val="99"/>
    <w:semiHidden/>
    <w:rsid w:val="00326ADB"/>
    <w:rPr>
      <w:sz w:val="20"/>
      <w:szCs w:val="20"/>
    </w:rPr>
  </w:style>
  <w:style w:type="paragraph" w:styleId="CommentSubject">
    <w:name w:val="annotation subject"/>
    <w:basedOn w:val="CommentText"/>
    <w:next w:val="CommentText"/>
    <w:link w:val="CommentSubjectChar"/>
    <w:uiPriority w:val="99"/>
    <w:semiHidden/>
    <w:unhideWhenUsed/>
    <w:rsid w:val="00326ADB"/>
    <w:rPr>
      <w:bCs/>
    </w:rPr>
  </w:style>
  <w:style w:type="character" w:customStyle="1" w:styleId="CommentSubjectChar">
    <w:name w:val="Comment Subject Char"/>
    <w:basedOn w:val="CommentTextChar"/>
    <w:link w:val="CommentSubject"/>
    <w:uiPriority w:val="99"/>
    <w:semiHidden/>
    <w:rsid w:val="00326ADB"/>
    <w:rPr>
      <w:bCs/>
      <w:sz w:val="20"/>
      <w:szCs w:val="20"/>
    </w:rPr>
  </w:style>
  <w:style w:type="paragraph" w:styleId="Revision">
    <w:name w:val="Revision"/>
    <w:hidden/>
    <w:uiPriority w:val="99"/>
    <w:semiHidden/>
    <w:rsid w:val="00326ADB"/>
  </w:style>
  <w:style w:type="character" w:styleId="Hyperlink">
    <w:name w:val="Hyperlink"/>
    <w:basedOn w:val="DefaultParagraphFont"/>
    <w:uiPriority w:val="99"/>
    <w:unhideWhenUsed/>
    <w:rsid w:val="00432EAA"/>
    <w:rPr>
      <w:color w:val="0000FF" w:themeColor="hyperlink"/>
      <w:u w:val="single"/>
    </w:rPr>
  </w:style>
  <w:style w:type="character" w:styleId="UnresolvedMention">
    <w:name w:val="Unresolved Mention"/>
    <w:basedOn w:val="DefaultParagraphFont"/>
    <w:uiPriority w:val="99"/>
    <w:semiHidden/>
    <w:unhideWhenUsed/>
    <w:rsid w:val="00432EAA"/>
    <w:rPr>
      <w:color w:val="605E5C"/>
      <w:shd w:val="clear" w:color="auto" w:fill="E1DFDD"/>
    </w:rPr>
  </w:style>
  <w:style w:type="paragraph" w:styleId="ListParagraph">
    <w:name w:val="List Paragraph"/>
    <w:basedOn w:val="Normal"/>
    <w:uiPriority w:val="34"/>
    <w:qFormat/>
    <w:rsid w:val="00290E4A"/>
    <w:pPr>
      <w:ind w:left="720"/>
      <w:contextualSpacing/>
    </w:pPr>
  </w:style>
  <w:style w:type="character" w:styleId="FollowedHyperlink">
    <w:name w:val="FollowedHyperlink"/>
    <w:basedOn w:val="DefaultParagraphFont"/>
    <w:uiPriority w:val="99"/>
    <w:semiHidden/>
    <w:unhideWhenUsed/>
    <w:rsid w:val="000C46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6158">
      <w:bodyDiv w:val="1"/>
      <w:marLeft w:val="0"/>
      <w:marRight w:val="0"/>
      <w:marTop w:val="0"/>
      <w:marBottom w:val="0"/>
      <w:divBdr>
        <w:top w:val="none" w:sz="0" w:space="0" w:color="auto"/>
        <w:left w:val="none" w:sz="0" w:space="0" w:color="auto"/>
        <w:bottom w:val="none" w:sz="0" w:space="0" w:color="auto"/>
        <w:right w:val="none" w:sz="0" w:space="0" w:color="auto"/>
      </w:divBdr>
    </w:div>
    <w:div w:id="919633539">
      <w:bodyDiv w:val="1"/>
      <w:marLeft w:val="0"/>
      <w:marRight w:val="0"/>
      <w:marTop w:val="0"/>
      <w:marBottom w:val="0"/>
      <w:divBdr>
        <w:top w:val="none" w:sz="0" w:space="0" w:color="auto"/>
        <w:left w:val="none" w:sz="0" w:space="0" w:color="auto"/>
        <w:bottom w:val="none" w:sz="0" w:space="0" w:color="auto"/>
        <w:right w:val="none" w:sz="0" w:space="0" w:color="auto"/>
      </w:divBdr>
    </w:div>
    <w:div w:id="939486557">
      <w:bodyDiv w:val="1"/>
      <w:marLeft w:val="0"/>
      <w:marRight w:val="0"/>
      <w:marTop w:val="0"/>
      <w:marBottom w:val="0"/>
      <w:divBdr>
        <w:top w:val="none" w:sz="0" w:space="0" w:color="auto"/>
        <w:left w:val="none" w:sz="0" w:space="0" w:color="auto"/>
        <w:bottom w:val="none" w:sz="0" w:space="0" w:color="auto"/>
        <w:right w:val="none" w:sz="0" w:space="0" w:color="auto"/>
      </w:divBdr>
      <w:divsChild>
        <w:div w:id="1753114239">
          <w:marLeft w:val="0"/>
          <w:marRight w:val="0"/>
          <w:marTop w:val="0"/>
          <w:marBottom w:val="0"/>
          <w:divBdr>
            <w:top w:val="none" w:sz="0" w:space="0" w:color="auto"/>
            <w:left w:val="none" w:sz="0" w:space="0" w:color="auto"/>
            <w:bottom w:val="none" w:sz="0" w:space="0" w:color="auto"/>
            <w:right w:val="none" w:sz="0" w:space="0" w:color="auto"/>
          </w:divBdr>
          <w:divsChild>
            <w:div w:id="1920672393">
              <w:marLeft w:val="0"/>
              <w:marRight w:val="0"/>
              <w:marTop w:val="0"/>
              <w:marBottom w:val="0"/>
              <w:divBdr>
                <w:top w:val="none" w:sz="0" w:space="0" w:color="auto"/>
                <w:left w:val="none" w:sz="0" w:space="0" w:color="auto"/>
                <w:bottom w:val="none" w:sz="0" w:space="0" w:color="auto"/>
                <w:right w:val="none" w:sz="0" w:space="0" w:color="auto"/>
              </w:divBdr>
              <w:divsChild>
                <w:div w:id="1201894207">
                  <w:marLeft w:val="0"/>
                  <w:marRight w:val="0"/>
                  <w:marTop w:val="0"/>
                  <w:marBottom w:val="0"/>
                  <w:divBdr>
                    <w:top w:val="none" w:sz="0" w:space="0" w:color="auto"/>
                    <w:left w:val="none" w:sz="0" w:space="0" w:color="auto"/>
                    <w:bottom w:val="none" w:sz="0" w:space="0" w:color="auto"/>
                    <w:right w:val="none" w:sz="0" w:space="0" w:color="auto"/>
                  </w:divBdr>
                  <w:divsChild>
                    <w:div w:id="6449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06515">
      <w:bodyDiv w:val="1"/>
      <w:marLeft w:val="0"/>
      <w:marRight w:val="0"/>
      <w:marTop w:val="0"/>
      <w:marBottom w:val="0"/>
      <w:divBdr>
        <w:top w:val="none" w:sz="0" w:space="0" w:color="auto"/>
        <w:left w:val="none" w:sz="0" w:space="0" w:color="auto"/>
        <w:bottom w:val="none" w:sz="0" w:space="0" w:color="auto"/>
        <w:right w:val="none" w:sz="0" w:space="0" w:color="auto"/>
      </w:divBdr>
      <w:divsChild>
        <w:div w:id="1544173226">
          <w:marLeft w:val="0"/>
          <w:marRight w:val="0"/>
          <w:marTop w:val="0"/>
          <w:marBottom w:val="0"/>
          <w:divBdr>
            <w:top w:val="none" w:sz="0" w:space="0" w:color="auto"/>
            <w:left w:val="none" w:sz="0" w:space="0" w:color="auto"/>
            <w:bottom w:val="none" w:sz="0" w:space="0" w:color="auto"/>
            <w:right w:val="none" w:sz="0" w:space="0" w:color="auto"/>
          </w:divBdr>
          <w:divsChild>
            <w:div w:id="1080249779">
              <w:marLeft w:val="0"/>
              <w:marRight w:val="0"/>
              <w:marTop w:val="0"/>
              <w:marBottom w:val="0"/>
              <w:divBdr>
                <w:top w:val="none" w:sz="0" w:space="0" w:color="auto"/>
                <w:left w:val="none" w:sz="0" w:space="0" w:color="auto"/>
                <w:bottom w:val="none" w:sz="0" w:space="0" w:color="auto"/>
                <w:right w:val="none" w:sz="0" w:space="0" w:color="auto"/>
              </w:divBdr>
              <w:divsChild>
                <w:div w:id="1888761825">
                  <w:marLeft w:val="0"/>
                  <w:marRight w:val="0"/>
                  <w:marTop w:val="0"/>
                  <w:marBottom w:val="0"/>
                  <w:divBdr>
                    <w:top w:val="none" w:sz="0" w:space="0" w:color="auto"/>
                    <w:left w:val="none" w:sz="0" w:space="0" w:color="auto"/>
                    <w:bottom w:val="none" w:sz="0" w:space="0" w:color="auto"/>
                    <w:right w:val="none" w:sz="0" w:space="0" w:color="auto"/>
                  </w:divBdr>
                  <w:divsChild>
                    <w:div w:id="7789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939562">
      <w:bodyDiv w:val="1"/>
      <w:marLeft w:val="0"/>
      <w:marRight w:val="0"/>
      <w:marTop w:val="0"/>
      <w:marBottom w:val="0"/>
      <w:divBdr>
        <w:top w:val="none" w:sz="0" w:space="0" w:color="auto"/>
        <w:left w:val="none" w:sz="0" w:space="0" w:color="auto"/>
        <w:bottom w:val="none" w:sz="0" w:space="0" w:color="auto"/>
        <w:right w:val="none" w:sz="0" w:space="0" w:color="auto"/>
      </w:divBdr>
      <w:divsChild>
        <w:div w:id="16292372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enap.tv/news/national-porgrammers-create-joint-industry-committ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AvSqF2sGfLeOAwlLlEYG0aowow==">AMUW2mWjsHKrY41yEC6JXkcKAMG5xfQ1IB8njBdGpu+7FtK2IZTT0zS+Jeo7ehrpWVcAjQvEkZuepdOI9OciiYS4glYOdusvq+3Htwd/NrOlRhBPGvkddIGb5Cr7C67zEQA4PihvPZMdUeij8dTDXF2DC/844i+TDYbchxP/hSJED5e0l9LBKcw=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24291D3CFFFB3468A8BEBC160241642" ma:contentTypeVersion="16" ma:contentTypeDescription="Create a new document." ma:contentTypeScope="" ma:versionID="3e9249157fbcbf75b1b1f560368cb2f9">
  <xsd:schema xmlns:xsd="http://www.w3.org/2001/XMLSchema" xmlns:xs="http://www.w3.org/2001/XMLSchema" xmlns:p="http://schemas.microsoft.com/office/2006/metadata/properties" xmlns:ns2="97cdb7a3-d8d8-4d5a-8559-ae518cf29f49" xmlns:ns3="8ffbcc2d-a520-42b9-8ca7-e090664160a6" targetNamespace="http://schemas.microsoft.com/office/2006/metadata/properties" ma:root="true" ma:fieldsID="5e6c8cd61715bc3482d649b524ff4eda" ns2:_="" ns3:_="">
    <xsd:import namespace="97cdb7a3-d8d8-4d5a-8559-ae518cf29f49"/>
    <xsd:import namespace="8ffbcc2d-a520-42b9-8ca7-e090664160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b7a3-d8d8-4d5a-8559-ae518cf29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637ead-fd64-45b4-abde-ec2d09ec10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fbcc2d-a520-42b9-8ca7-e090664160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2ae5e6-0bf7-4809-94d2-b453c12df252}" ma:internalName="TaxCatchAll" ma:showField="CatchAllData" ma:web="8ffbcc2d-a520-42b9-8ca7-e09066416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00CE04-B855-48EF-9268-1C23660F4018}"/>
</file>

<file path=customXml/itemProps3.xml><?xml version="1.0" encoding="utf-8"?>
<ds:datastoreItem xmlns:ds="http://schemas.openxmlformats.org/officeDocument/2006/customXml" ds:itemID="{E8C62672-32A9-49F7-8449-950B4FAB978A}"/>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Slattery</cp:lastModifiedBy>
  <cp:revision>2</cp:revision>
  <dcterms:created xsi:type="dcterms:W3CDTF">2023-03-03T17:00:00Z</dcterms:created>
  <dcterms:modified xsi:type="dcterms:W3CDTF">2023-03-03T17:00:00Z</dcterms:modified>
</cp:coreProperties>
</file>